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B5B9" w14:textId="77777777" w:rsidR="003235F2" w:rsidRDefault="00E15E3C" w:rsidP="003235F2">
      <w:pPr>
        <w:rPr>
          <w:sz w:val="24"/>
        </w:rPr>
      </w:pPr>
      <w:r w:rsidRPr="007B2FB8">
        <w:rPr>
          <w:b/>
          <w:sz w:val="24"/>
        </w:rPr>
        <w:t>BEACON (</w:t>
      </w:r>
      <w:r w:rsidR="005635C5" w:rsidRPr="0040737E">
        <w:rPr>
          <w:b/>
          <w:sz w:val="24"/>
          <w:u w:val="single"/>
        </w:rPr>
        <w:t>BEA</w:t>
      </w:r>
      <w:r w:rsidR="005635C5" w:rsidRPr="007B2FB8">
        <w:rPr>
          <w:b/>
          <w:sz w:val="24"/>
        </w:rPr>
        <w:t xml:space="preserve">VRS </w:t>
      </w:r>
      <w:r w:rsidR="0040737E" w:rsidRPr="0040737E">
        <w:rPr>
          <w:b/>
          <w:sz w:val="24"/>
          <w:u w:val="single"/>
        </w:rPr>
        <w:t>c</w:t>
      </w:r>
      <w:r w:rsidR="0040737E">
        <w:rPr>
          <w:b/>
          <w:sz w:val="24"/>
        </w:rPr>
        <w:t>ase c</w:t>
      </w:r>
      <w:r w:rsidR="0040737E" w:rsidRPr="0040737E">
        <w:rPr>
          <w:b/>
          <w:sz w:val="24"/>
          <w:u w:val="single"/>
        </w:rPr>
        <w:t>o</w:t>
      </w:r>
      <w:r w:rsidR="0040737E">
        <w:rPr>
          <w:b/>
          <w:sz w:val="24"/>
        </w:rPr>
        <w:t>llection i</w:t>
      </w:r>
      <w:r w:rsidR="0040737E" w:rsidRPr="0040737E">
        <w:rPr>
          <w:b/>
          <w:sz w:val="24"/>
          <w:u w:val="single"/>
        </w:rPr>
        <w:t>n</w:t>
      </w:r>
      <w:r w:rsidRPr="007B2FB8">
        <w:rPr>
          <w:b/>
          <w:sz w:val="24"/>
        </w:rPr>
        <w:t>itiative)</w:t>
      </w:r>
      <w:r w:rsidR="003235F2" w:rsidRPr="003235F2">
        <w:rPr>
          <w:b/>
          <w:sz w:val="24"/>
        </w:rPr>
        <w:t xml:space="preserve"> </w:t>
      </w:r>
      <w:r w:rsidR="000500DD">
        <w:rPr>
          <w:b/>
          <w:sz w:val="24"/>
        </w:rPr>
        <w:t>s</w:t>
      </w:r>
      <w:r w:rsidR="003235F2" w:rsidRPr="003F710B">
        <w:rPr>
          <w:b/>
          <w:sz w:val="24"/>
        </w:rPr>
        <w:t>tudy outline form</w:t>
      </w:r>
      <w:r w:rsidR="003235F2">
        <w:rPr>
          <w:sz w:val="24"/>
        </w:rPr>
        <w:t xml:space="preserve"> </w:t>
      </w:r>
    </w:p>
    <w:p w14:paraId="71A9ED58" w14:textId="77777777" w:rsidR="00E15E3C" w:rsidRDefault="00E15E3C" w:rsidP="00E15E3C">
      <w:pPr>
        <w:rPr>
          <w:sz w:val="24"/>
        </w:rPr>
      </w:pPr>
    </w:p>
    <w:p w14:paraId="1F034640" w14:textId="0D5E2975" w:rsidR="00306AE3" w:rsidRPr="00B366D7" w:rsidRDefault="00E15E3C" w:rsidP="00E15E3C">
      <w:pPr>
        <w:rPr>
          <w:sz w:val="24"/>
        </w:rPr>
      </w:pPr>
      <w:r w:rsidRPr="007B2FB8">
        <w:rPr>
          <w:b/>
          <w:sz w:val="24"/>
        </w:rPr>
        <w:t>Full Title:</w:t>
      </w:r>
      <w:r w:rsidRPr="00E15E3C">
        <w:rPr>
          <w:sz w:val="24"/>
        </w:rPr>
        <w:t xml:space="preserve"> </w:t>
      </w:r>
      <w:r w:rsidR="00B366D7" w:rsidRPr="00B366D7">
        <w:rPr>
          <w:sz w:val="24"/>
        </w:rPr>
        <w:t>The use of</w:t>
      </w:r>
      <w:r w:rsidR="00B366D7">
        <w:rPr>
          <w:sz w:val="24"/>
        </w:rPr>
        <w:t xml:space="preserve"> “autologous or </w:t>
      </w:r>
      <w:r w:rsidR="008B45D8">
        <w:rPr>
          <w:sz w:val="24"/>
        </w:rPr>
        <w:t>allogenic</w:t>
      </w:r>
      <w:r w:rsidR="00006D4F">
        <w:rPr>
          <w:sz w:val="24"/>
        </w:rPr>
        <w:t xml:space="preserve"> </w:t>
      </w:r>
      <w:r w:rsidR="00B366D7" w:rsidRPr="00B366D7">
        <w:rPr>
          <w:sz w:val="24"/>
        </w:rPr>
        <w:t>plug</w:t>
      </w:r>
      <w:r w:rsidR="00B366D7">
        <w:rPr>
          <w:sz w:val="24"/>
        </w:rPr>
        <w:t>s”</w:t>
      </w:r>
      <w:r w:rsidR="00B366D7" w:rsidRPr="00B366D7">
        <w:rPr>
          <w:sz w:val="24"/>
        </w:rPr>
        <w:t xml:space="preserve"> in vitrectomy for the surgical management optic disc pit maculopathy</w:t>
      </w:r>
    </w:p>
    <w:p w14:paraId="16DF6B3E" w14:textId="0EA41205" w:rsidR="00A434E7" w:rsidRPr="00EC6902" w:rsidRDefault="00E15E3C" w:rsidP="00A434E7">
      <w:pPr>
        <w:rPr>
          <w:sz w:val="24"/>
        </w:rPr>
      </w:pPr>
      <w:r w:rsidRPr="00EC6902">
        <w:rPr>
          <w:b/>
          <w:sz w:val="24"/>
          <w:lang w:val="en-US"/>
        </w:rPr>
        <w:t>Acronym:</w:t>
      </w:r>
      <w:r w:rsidR="0040113F" w:rsidRPr="00EC6902">
        <w:rPr>
          <w:sz w:val="24"/>
          <w:lang w:val="en-US"/>
        </w:rPr>
        <w:t xml:space="preserve"> </w:t>
      </w:r>
      <w:r w:rsidR="000A4E12">
        <w:rPr>
          <w:sz w:val="24"/>
          <w:lang w:val="en-US"/>
        </w:rPr>
        <w:t>OPTIMA</w:t>
      </w:r>
      <w:r w:rsidR="00A434E7" w:rsidRPr="00EC6902">
        <w:rPr>
          <w:sz w:val="24"/>
          <w:lang w:val="en-US"/>
        </w:rPr>
        <w:t xml:space="preserve"> </w:t>
      </w:r>
      <w:r w:rsidR="00EC6902" w:rsidRPr="00EC6902">
        <w:rPr>
          <w:sz w:val="24"/>
          <w:lang w:val="en-US"/>
        </w:rPr>
        <w:t>(</w:t>
      </w:r>
      <w:r w:rsidR="00990D3C" w:rsidRPr="000A4E12">
        <w:rPr>
          <w:sz w:val="24"/>
        </w:rPr>
        <w:t xml:space="preserve">autologous or </w:t>
      </w:r>
      <w:r w:rsidR="008B45D8">
        <w:rPr>
          <w:sz w:val="24"/>
        </w:rPr>
        <w:t>allogenic</w:t>
      </w:r>
      <w:r w:rsidR="005C6483" w:rsidRPr="000A4E12">
        <w:rPr>
          <w:sz w:val="24"/>
        </w:rPr>
        <w:t xml:space="preserve"> </w:t>
      </w:r>
      <w:r w:rsidR="00990D3C" w:rsidRPr="000A4E12">
        <w:rPr>
          <w:sz w:val="24"/>
        </w:rPr>
        <w:t>plugs</w:t>
      </w:r>
      <w:r w:rsidR="00B366D7" w:rsidRPr="000A4E12">
        <w:rPr>
          <w:sz w:val="24"/>
        </w:rPr>
        <w:t xml:space="preserve"> in vitrectomy for the surgical management </w:t>
      </w:r>
      <w:r w:rsidR="00B366D7" w:rsidRPr="000A4E12">
        <w:rPr>
          <w:sz w:val="24"/>
          <w:u w:val="single"/>
        </w:rPr>
        <w:t>opt</w:t>
      </w:r>
      <w:r w:rsidR="00B366D7" w:rsidRPr="000A4E12">
        <w:rPr>
          <w:sz w:val="24"/>
        </w:rPr>
        <w:t>ic disc p</w:t>
      </w:r>
      <w:r w:rsidR="00B366D7" w:rsidRPr="000A4E12">
        <w:rPr>
          <w:sz w:val="24"/>
          <w:u w:val="single"/>
        </w:rPr>
        <w:t>i</w:t>
      </w:r>
      <w:r w:rsidR="00B366D7" w:rsidRPr="000A4E12">
        <w:rPr>
          <w:sz w:val="24"/>
        </w:rPr>
        <w:t xml:space="preserve">t </w:t>
      </w:r>
      <w:r w:rsidR="00B366D7" w:rsidRPr="000A4E12">
        <w:rPr>
          <w:sz w:val="24"/>
          <w:u w:val="single"/>
        </w:rPr>
        <w:t>ma</w:t>
      </w:r>
      <w:r w:rsidR="00B366D7" w:rsidRPr="000A4E12">
        <w:rPr>
          <w:sz w:val="24"/>
        </w:rPr>
        <w:t>culopathy</w:t>
      </w:r>
      <w:r w:rsidR="00EC6902">
        <w:rPr>
          <w:sz w:val="24"/>
        </w:rPr>
        <w:t>)</w:t>
      </w:r>
    </w:p>
    <w:p w14:paraId="610BD18D" w14:textId="77777777" w:rsidR="00E15E3C" w:rsidRPr="00EC6902" w:rsidRDefault="00E15E3C" w:rsidP="00E15E3C">
      <w:pPr>
        <w:rPr>
          <w:sz w:val="24"/>
          <w:lang w:val="en-US"/>
        </w:rPr>
      </w:pPr>
    </w:p>
    <w:p w14:paraId="1D72F03B" w14:textId="4384F5AA" w:rsidR="00E15E3C" w:rsidRPr="005349BE" w:rsidRDefault="00E15E3C" w:rsidP="00E15E3C">
      <w:pPr>
        <w:rPr>
          <w:b/>
          <w:sz w:val="24"/>
          <w:lang w:val="en-US"/>
        </w:rPr>
      </w:pPr>
      <w:r w:rsidRPr="005349BE">
        <w:rPr>
          <w:b/>
          <w:sz w:val="24"/>
          <w:lang w:val="en-US"/>
        </w:rPr>
        <w:t>Proposer name:</w:t>
      </w:r>
      <w:r w:rsidR="005243CE" w:rsidRPr="005349BE">
        <w:rPr>
          <w:b/>
          <w:sz w:val="24"/>
          <w:lang w:val="en-US"/>
        </w:rPr>
        <w:t xml:space="preserve"> </w:t>
      </w:r>
      <w:proofErr w:type="spellStart"/>
      <w:r w:rsidR="005243CE" w:rsidRPr="005349BE">
        <w:rPr>
          <w:bCs/>
          <w:sz w:val="24"/>
          <w:lang w:val="en-US"/>
        </w:rPr>
        <w:t>Mariantonia</w:t>
      </w:r>
      <w:proofErr w:type="spellEnd"/>
      <w:r w:rsidR="005243CE" w:rsidRPr="005349BE">
        <w:rPr>
          <w:bCs/>
          <w:sz w:val="24"/>
          <w:lang w:val="en-US"/>
        </w:rPr>
        <w:t xml:space="preserve"> Ferrara</w:t>
      </w:r>
    </w:p>
    <w:p w14:paraId="5D76D163" w14:textId="1EE80DD0" w:rsidR="00E15E3C" w:rsidRPr="005243CE" w:rsidRDefault="00E15E3C" w:rsidP="00E15E3C">
      <w:pPr>
        <w:rPr>
          <w:sz w:val="24"/>
          <w:lang w:val="en-US"/>
        </w:rPr>
      </w:pPr>
      <w:r w:rsidRPr="005243CE">
        <w:rPr>
          <w:b/>
          <w:sz w:val="24"/>
          <w:lang w:val="en-US"/>
        </w:rPr>
        <w:t>Proposer position:</w:t>
      </w:r>
      <w:r w:rsidRPr="005243CE">
        <w:rPr>
          <w:sz w:val="24"/>
          <w:lang w:val="en-US"/>
        </w:rPr>
        <w:t xml:space="preserve"> </w:t>
      </w:r>
      <w:r w:rsidR="005243CE" w:rsidRPr="005243CE">
        <w:rPr>
          <w:sz w:val="24"/>
          <w:lang w:val="en-US"/>
        </w:rPr>
        <w:t>Vitreoretinal fellow</w:t>
      </w:r>
    </w:p>
    <w:p w14:paraId="324BA785" w14:textId="22F34E29" w:rsidR="00E15E3C" w:rsidRPr="00E15E3C" w:rsidRDefault="00E15E3C" w:rsidP="00E15E3C">
      <w:pPr>
        <w:rPr>
          <w:sz w:val="24"/>
        </w:rPr>
      </w:pPr>
      <w:r w:rsidRPr="007B2FB8">
        <w:rPr>
          <w:b/>
          <w:sz w:val="24"/>
        </w:rPr>
        <w:t>Proposer location:</w:t>
      </w:r>
      <w:r w:rsidRPr="00E15E3C">
        <w:rPr>
          <w:sz w:val="24"/>
        </w:rPr>
        <w:t xml:space="preserve">  </w:t>
      </w:r>
      <w:r w:rsidR="005243CE">
        <w:rPr>
          <w:sz w:val="24"/>
        </w:rPr>
        <w:t>Manchester Royal Eye Hospital</w:t>
      </w:r>
    </w:p>
    <w:p w14:paraId="1B666A04" w14:textId="77186E67" w:rsidR="00E15E3C" w:rsidRPr="007B2FB8" w:rsidRDefault="00E15E3C" w:rsidP="00E15E3C">
      <w:pPr>
        <w:rPr>
          <w:b/>
          <w:sz w:val="24"/>
        </w:rPr>
      </w:pPr>
      <w:r w:rsidRPr="007B2FB8">
        <w:rPr>
          <w:b/>
          <w:sz w:val="24"/>
        </w:rPr>
        <w:t xml:space="preserve">Proposer email: </w:t>
      </w:r>
      <w:r w:rsidR="005243CE" w:rsidRPr="005243CE">
        <w:rPr>
          <w:bCs/>
          <w:sz w:val="24"/>
        </w:rPr>
        <w:t>mariantonia.ferrara@gmail.com</w:t>
      </w:r>
    </w:p>
    <w:p w14:paraId="42FDE6FB" w14:textId="77777777" w:rsidR="00E15E3C" w:rsidRPr="007B2FB8" w:rsidRDefault="00E15E3C" w:rsidP="00E15E3C">
      <w:pPr>
        <w:rPr>
          <w:b/>
          <w:sz w:val="24"/>
        </w:rPr>
      </w:pPr>
    </w:p>
    <w:p w14:paraId="2193089F" w14:textId="4753FEA4" w:rsidR="00E15E3C" w:rsidRPr="005243CE" w:rsidRDefault="00E15E3C" w:rsidP="00E15E3C">
      <w:pPr>
        <w:rPr>
          <w:bCs/>
          <w:sz w:val="24"/>
        </w:rPr>
      </w:pPr>
      <w:r w:rsidRPr="007B2FB8">
        <w:rPr>
          <w:b/>
          <w:sz w:val="24"/>
        </w:rPr>
        <w:t xml:space="preserve">Other members of study design group: </w:t>
      </w:r>
      <w:r w:rsidR="005243CE" w:rsidRPr="005243CE">
        <w:rPr>
          <w:bCs/>
          <w:sz w:val="24"/>
        </w:rPr>
        <w:t xml:space="preserve">David HW Steel, Roxane </w:t>
      </w:r>
      <w:r w:rsidR="00207D27">
        <w:rPr>
          <w:bCs/>
          <w:sz w:val="24"/>
        </w:rPr>
        <w:t xml:space="preserve">J </w:t>
      </w:r>
      <w:r w:rsidR="005243CE" w:rsidRPr="005243CE">
        <w:rPr>
          <w:bCs/>
          <w:sz w:val="24"/>
        </w:rPr>
        <w:t>Hillier,</w:t>
      </w:r>
      <w:r w:rsidR="005243CE">
        <w:rPr>
          <w:bCs/>
          <w:sz w:val="24"/>
        </w:rPr>
        <w:t xml:space="preserve"> Richard Haynes, Edward Hughes, Alistair Laidlaw</w:t>
      </w:r>
    </w:p>
    <w:p w14:paraId="20BE82A5" w14:textId="77777777" w:rsidR="00E15E3C" w:rsidRDefault="00E15E3C" w:rsidP="00E15E3C">
      <w:pPr>
        <w:rPr>
          <w:sz w:val="24"/>
        </w:rPr>
      </w:pPr>
    </w:p>
    <w:p w14:paraId="47A6C756" w14:textId="56B8B263" w:rsidR="00E15E3C" w:rsidRPr="005243CE" w:rsidRDefault="00E15E3C" w:rsidP="00E15E3C">
      <w:pPr>
        <w:rPr>
          <w:bCs/>
          <w:sz w:val="24"/>
        </w:rPr>
      </w:pPr>
      <w:r w:rsidRPr="007B2FB8">
        <w:rPr>
          <w:b/>
          <w:sz w:val="24"/>
        </w:rPr>
        <w:t xml:space="preserve">What you are studying: </w:t>
      </w:r>
      <w:r w:rsidR="005243CE" w:rsidRPr="00B301CA">
        <w:rPr>
          <w:bCs/>
          <w:sz w:val="24"/>
        </w:rPr>
        <w:t xml:space="preserve">Anatomical and functional results of </w:t>
      </w:r>
      <w:r w:rsidR="00B34371">
        <w:rPr>
          <w:bCs/>
          <w:sz w:val="24"/>
        </w:rPr>
        <w:t xml:space="preserve">vitrectomy combined with different </w:t>
      </w:r>
      <w:r w:rsidR="007168C9">
        <w:rPr>
          <w:bCs/>
          <w:sz w:val="24"/>
        </w:rPr>
        <w:t>ancillary techniques involving the creation of a plug for the optic disc pit with autologous (</w:t>
      </w:r>
      <w:proofErr w:type="gramStart"/>
      <w:r w:rsidR="00817DD5">
        <w:rPr>
          <w:bCs/>
          <w:sz w:val="24"/>
        </w:rPr>
        <w:t>e.g.</w:t>
      </w:r>
      <w:proofErr w:type="gramEnd"/>
      <w:r w:rsidR="00817DD5">
        <w:rPr>
          <w:bCs/>
          <w:sz w:val="24"/>
        </w:rPr>
        <w:t xml:space="preserve"> </w:t>
      </w:r>
      <w:r w:rsidR="007168C9">
        <w:rPr>
          <w:bCs/>
          <w:sz w:val="24"/>
        </w:rPr>
        <w:t>internal limiting membrane (ILM) flap, sclera, neurosensory retina</w:t>
      </w:r>
      <w:r w:rsidR="00207D27">
        <w:rPr>
          <w:bCs/>
          <w:sz w:val="24"/>
        </w:rPr>
        <w:t>, platelet</w:t>
      </w:r>
      <w:r w:rsidR="00DE4E55">
        <w:rPr>
          <w:bCs/>
          <w:sz w:val="24"/>
        </w:rPr>
        <w:t>-</w:t>
      </w:r>
      <w:r w:rsidR="00207D27">
        <w:rPr>
          <w:bCs/>
          <w:sz w:val="24"/>
        </w:rPr>
        <w:t>rich plasma</w:t>
      </w:r>
      <w:r w:rsidR="007168C9">
        <w:rPr>
          <w:bCs/>
          <w:sz w:val="24"/>
        </w:rPr>
        <w:t>)</w:t>
      </w:r>
      <w:r w:rsidR="00817DD5">
        <w:rPr>
          <w:bCs/>
          <w:sz w:val="24"/>
        </w:rPr>
        <w:t xml:space="preserve"> or </w:t>
      </w:r>
      <w:r w:rsidR="008B45D8">
        <w:rPr>
          <w:bCs/>
          <w:sz w:val="24"/>
        </w:rPr>
        <w:t>allogenic</w:t>
      </w:r>
      <w:r w:rsidR="00207D27">
        <w:rPr>
          <w:bCs/>
          <w:sz w:val="24"/>
        </w:rPr>
        <w:t xml:space="preserve"> </w:t>
      </w:r>
      <w:r w:rsidR="00817DD5">
        <w:rPr>
          <w:bCs/>
          <w:sz w:val="24"/>
        </w:rPr>
        <w:t xml:space="preserve">tissues (e.g. human amniotic membrane) </w:t>
      </w:r>
    </w:p>
    <w:p w14:paraId="643A0E73" w14:textId="77777777" w:rsidR="00C41E4F" w:rsidRDefault="00C41E4F" w:rsidP="00E15E3C">
      <w:pPr>
        <w:rPr>
          <w:sz w:val="24"/>
        </w:rPr>
      </w:pPr>
    </w:p>
    <w:p w14:paraId="2249344F" w14:textId="3C07BEC5" w:rsidR="00E15E3C" w:rsidRPr="007168C9" w:rsidRDefault="00C41E4F" w:rsidP="00E15E3C">
      <w:pPr>
        <w:rPr>
          <w:bCs/>
          <w:sz w:val="24"/>
        </w:rPr>
      </w:pPr>
      <w:r w:rsidRPr="007B2FB8">
        <w:rPr>
          <w:b/>
          <w:sz w:val="24"/>
        </w:rPr>
        <w:t xml:space="preserve">What is your primary research question: </w:t>
      </w:r>
      <w:r w:rsidR="007168C9">
        <w:rPr>
          <w:bCs/>
          <w:sz w:val="24"/>
        </w:rPr>
        <w:t xml:space="preserve">Is vitrectomy and </w:t>
      </w:r>
      <w:r w:rsidR="007168C9">
        <w:rPr>
          <w:sz w:val="24"/>
        </w:rPr>
        <w:t>autologous</w:t>
      </w:r>
      <w:r w:rsidR="00817DD5">
        <w:rPr>
          <w:sz w:val="24"/>
        </w:rPr>
        <w:t>/</w:t>
      </w:r>
      <w:r w:rsidR="00B07BAD">
        <w:rPr>
          <w:sz w:val="24"/>
        </w:rPr>
        <w:t>allogenic</w:t>
      </w:r>
      <w:r w:rsidR="007168C9">
        <w:rPr>
          <w:sz w:val="24"/>
        </w:rPr>
        <w:t xml:space="preserve"> tissue plug</w:t>
      </w:r>
      <w:r w:rsidR="00207D27">
        <w:rPr>
          <w:sz w:val="24"/>
        </w:rPr>
        <w:t>ging</w:t>
      </w:r>
      <w:r w:rsidR="007168C9">
        <w:rPr>
          <w:sz w:val="24"/>
        </w:rPr>
        <w:t xml:space="preserve"> an effective surgical option for the treatment of optic disc pit maculopathy?</w:t>
      </w:r>
    </w:p>
    <w:p w14:paraId="03D3D933" w14:textId="77777777" w:rsidR="005243CE" w:rsidRDefault="005243CE" w:rsidP="00E15E3C">
      <w:pPr>
        <w:rPr>
          <w:b/>
          <w:sz w:val="24"/>
        </w:rPr>
      </w:pPr>
    </w:p>
    <w:p w14:paraId="3B27F394" w14:textId="678C87A0" w:rsidR="00B301CA" w:rsidRDefault="00E15E3C" w:rsidP="00E15E3C">
      <w:pPr>
        <w:rPr>
          <w:sz w:val="24"/>
        </w:rPr>
      </w:pPr>
      <w:r w:rsidRPr="007B2FB8">
        <w:rPr>
          <w:b/>
          <w:sz w:val="24"/>
        </w:rPr>
        <w:t>Background and importance:</w:t>
      </w:r>
      <w:r>
        <w:rPr>
          <w:sz w:val="24"/>
        </w:rPr>
        <w:t xml:space="preserve"> </w:t>
      </w:r>
      <w:r w:rsidR="005243CE" w:rsidRPr="005243CE">
        <w:rPr>
          <w:sz w:val="24"/>
        </w:rPr>
        <w:t xml:space="preserve">A wide variety of surgical approaches have been </w:t>
      </w:r>
      <w:r w:rsidR="005243CE">
        <w:rPr>
          <w:sz w:val="24"/>
        </w:rPr>
        <w:t xml:space="preserve">proposed for the treatment of optic pit maculopathy </w:t>
      </w:r>
      <w:r w:rsidR="005243CE" w:rsidRPr="005243CE">
        <w:rPr>
          <w:sz w:val="24"/>
        </w:rPr>
        <w:t>with varying success rate</w:t>
      </w:r>
      <w:r w:rsidR="00B301CA">
        <w:rPr>
          <w:sz w:val="24"/>
        </w:rPr>
        <w:t xml:space="preserve">s. </w:t>
      </w:r>
      <w:r w:rsidR="007168C9">
        <w:rPr>
          <w:sz w:val="24"/>
        </w:rPr>
        <w:t xml:space="preserve">In particular, pars plana vitrectomy has been combined with different ancillary techniques, including ILM peeling, </w:t>
      </w:r>
      <w:proofErr w:type="spellStart"/>
      <w:r w:rsidR="007168C9">
        <w:rPr>
          <w:sz w:val="24"/>
        </w:rPr>
        <w:t>endolaser</w:t>
      </w:r>
      <w:proofErr w:type="spellEnd"/>
      <w:r w:rsidR="007168C9">
        <w:rPr>
          <w:sz w:val="24"/>
        </w:rPr>
        <w:t xml:space="preserve"> and use of various autologous </w:t>
      </w:r>
      <w:r w:rsidR="00207D27">
        <w:rPr>
          <w:sz w:val="24"/>
        </w:rPr>
        <w:t xml:space="preserve">or </w:t>
      </w:r>
      <w:r w:rsidR="008B45D8">
        <w:rPr>
          <w:sz w:val="24"/>
        </w:rPr>
        <w:t>allogenic</w:t>
      </w:r>
      <w:r w:rsidR="00207D27">
        <w:rPr>
          <w:sz w:val="24"/>
        </w:rPr>
        <w:t xml:space="preserve"> </w:t>
      </w:r>
      <w:r w:rsidR="007168C9">
        <w:rPr>
          <w:sz w:val="24"/>
        </w:rPr>
        <w:t xml:space="preserve">tissues as </w:t>
      </w:r>
      <w:r w:rsidR="00207D27">
        <w:rPr>
          <w:sz w:val="24"/>
        </w:rPr>
        <w:t xml:space="preserve">a </w:t>
      </w:r>
      <w:r w:rsidR="007168C9">
        <w:rPr>
          <w:sz w:val="24"/>
        </w:rPr>
        <w:t>plug over or in the optic disc pit. So far, no conclusive evidence is available regarding the comparison of these techniques in terms of anatomical and functional results.</w:t>
      </w:r>
    </w:p>
    <w:p w14:paraId="5F456D3E" w14:textId="6EB910A3" w:rsidR="00E15E3C" w:rsidRDefault="00E15E3C" w:rsidP="00E15E3C">
      <w:pPr>
        <w:rPr>
          <w:sz w:val="24"/>
        </w:rPr>
      </w:pPr>
    </w:p>
    <w:p w14:paraId="057CDD49" w14:textId="77777777" w:rsidR="007B2FB8" w:rsidRPr="00DE4E55" w:rsidRDefault="007B2FB8" w:rsidP="007B2FB8">
      <w:pPr>
        <w:rPr>
          <w:sz w:val="24"/>
        </w:rPr>
      </w:pPr>
      <w:r w:rsidRPr="00DE4E55">
        <w:rPr>
          <w:b/>
          <w:sz w:val="24"/>
        </w:rPr>
        <w:t>Case definition:</w:t>
      </w:r>
      <w:r w:rsidR="003F710B" w:rsidRPr="00DE4E55">
        <w:rPr>
          <w:sz w:val="24"/>
        </w:rPr>
        <w:t xml:space="preserve"> </w:t>
      </w:r>
    </w:p>
    <w:p w14:paraId="7EED8066" w14:textId="77777777" w:rsidR="00E82C10" w:rsidRPr="00DE4E55" w:rsidRDefault="00051BBD" w:rsidP="007B2FB8">
      <w:pPr>
        <w:rPr>
          <w:b/>
          <w:sz w:val="24"/>
        </w:rPr>
      </w:pPr>
      <w:r w:rsidRPr="00DE4E55">
        <w:rPr>
          <w:b/>
          <w:sz w:val="24"/>
        </w:rPr>
        <w:t>Inclusion criteria:</w:t>
      </w:r>
      <w:r w:rsidR="00E82C10" w:rsidRPr="00DE4E55">
        <w:rPr>
          <w:b/>
          <w:sz w:val="24"/>
        </w:rPr>
        <w:t xml:space="preserve"> </w:t>
      </w:r>
    </w:p>
    <w:p w14:paraId="2241F35E" w14:textId="7357A38F" w:rsidR="00051BBD" w:rsidRPr="00DE4E55" w:rsidRDefault="004B18C3" w:rsidP="00E82C10">
      <w:pPr>
        <w:pStyle w:val="ListParagraph"/>
        <w:numPr>
          <w:ilvl w:val="0"/>
          <w:numId w:val="3"/>
        </w:numPr>
        <w:rPr>
          <w:b/>
          <w:sz w:val="24"/>
        </w:rPr>
      </w:pPr>
      <w:r w:rsidRPr="00DE4E55">
        <w:rPr>
          <w:rFonts w:cstheme="majorHAnsi"/>
          <w:sz w:val="24"/>
          <w:szCs w:val="24"/>
          <w:lang w:val="en-US"/>
        </w:rPr>
        <w:t>Patients undergoing a plugging technique for the primary or secondary management of</w:t>
      </w:r>
      <w:r w:rsidR="00E82C10" w:rsidRPr="00DE4E55">
        <w:rPr>
          <w:rFonts w:cstheme="majorHAnsi"/>
          <w:sz w:val="24"/>
          <w:szCs w:val="24"/>
        </w:rPr>
        <w:t xml:space="preserve"> optic disc pit maculopathy</w:t>
      </w:r>
      <w:r w:rsidR="008900D3" w:rsidRPr="00DE4E55">
        <w:rPr>
          <w:rFonts w:cstheme="majorHAnsi"/>
          <w:sz w:val="24"/>
          <w:szCs w:val="24"/>
        </w:rPr>
        <w:t xml:space="preserve">. </w:t>
      </w:r>
    </w:p>
    <w:p w14:paraId="1F4F3ADF" w14:textId="0D8DE2CB" w:rsidR="004B18C3" w:rsidRPr="00F42E56" w:rsidRDefault="00F42E56" w:rsidP="00F42E56">
      <w:pPr>
        <w:rPr>
          <w:b/>
          <w:sz w:val="24"/>
        </w:rPr>
      </w:pPr>
      <w:r w:rsidRPr="00DE4E55">
        <w:rPr>
          <w:b/>
          <w:sz w:val="24"/>
        </w:rPr>
        <w:t xml:space="preserve">To note: </w:t>
      </w:r>
      <w:r w:rsidRPr="00DE4E55">
        <w:rPr>
          <w:bCs/>
          <w:sz w:val="24"/>
        </w:rPr>
        <w:t>the last surgery performed (index surgery) has to be the one in which a plugging material was used.</w:t>
      </w:r>
      <w:r w:rsidR="008900D3" w:rsidRPr="00DE4E55">
        <w:rPr>
          <w:bCs/>
          <w:sz w:val="24"/>
        </w:rPr>
        <w:t xml:space="preserve"> Please, include both successful and failed cases.</w:t>
      </w:r>
    </w:p>
    <w:p w14:paraId="065C2629" w14:textId="77777777" w:rsidR="00E82C10" w:rsidRPr="00E82C10" w:rsidRDefault="00E82C10" w:rsidP="00A33950">
      <w:pPr>
        <w:pStyle w:val="ListParagraph"/>
        <w:rPr>
          <w:b/>
          <w:sz w:val="24"/>
        </w:rPr>
      </w:pPr>
    </w:p>
    <w:p w14:paraId="53947215" w14:textId="77777777" w:rsidR="00E82C10" w:rsidRDefault="00051BBD" w:rsidP="007B2FB8">
      <w:pPr>
        <w:rPr>
          <w:b/>
          <w:sz w:val="24"/>
        </w:rPr>
      </w:pPr>
      <w:r w:rsidRPr="00051BBD">
        <w:rPr>
          <w:b/>
          <w:sz w:val="24"/>
        </w:rPr>
        <w:t>Exclusion criteria:</w:t>
      </w:r>
      <w:r w:rsidR="00E82C10">
        <w:rPr>
          <w:b/>
          <w:sz w:val="24"/>
        </w:rPr>
        <w:t xml:space="preserve"> </w:t>
      </w:r>
    </w:p>
    <w:p w14:paraId="6EBDBBDC" w14:textId="153BF96B" w:rsidR="000822CC" w:rsidRDefault="000822CC" w:rsidP="00E82C10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patient lost </w:t>
      </w:r>
      <w:r w:rsidR="00207D27">
        <w:rPr>
          <w:bCs/>
          <w:sz w:val="24"/>
        </w:rPr>
        <w:t>to</w:t>
      </w:r>
      <w:r>
        <w:rPr>
          <w:bCs/>
          <w:sz w:val="24"/>
        </w:rPr>
        <w:t xml:space="preserve"> follow-up before 1 year</w:t>
      </w:r>
    </w:p>
    <w:p w14:paraId="3FC7C2EF" w14:textId="2243F011" w:rsidR="000822CC" w:rsidRDefault="000822CC" w:rsidP="00E82C10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high myopia (</w:t>
      </w:r>
      <w:r w:rsidRPr="000822CC">
        <w:rPr>
          <w:bCs/>
          <w:sz w:val="24"/>
        </w:rPr>
        <w:t>&gt;-6 dioptres or axial length &gt;26mm</w:t>
      </w:r>
      <w:r>
        <w:rPr>
          <w:bCs/>
          <w:sz w:val="24"/>
        </w:rPr>
        <w:t>)</w:t>
      </w:r>
    </w:p>
    <w:p w14:paraId="2BC50813" w14:textId="70AFF8A9" w:rsidR="000822CC" w:rsidRDefault="00D275C8" w:rsidP="00E82C10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late age-related macular degeneration</w:t>
      </w:r>
    </w:p>
    <w:p w14:paraId="3C3FD17D" w14:textId="71598B27" w:rsidR="00D275C8" w:rsidRDefault="00D275C8" w:rsidP="00E82C10">
      <w:pPr>
        <w:pStyle w:val="ListParagraph"/>
        <w:numPr>
          <w:ilvl w:val="0"/>
          <w:numId w:val="2"/>
        </w:numPr>
        <w:rPr>
          <w:bCs/>
          <w:sz w:val="24"/>
        </w:rPr>
      </w:pPr>
      <w:r w:rsidRPr="000822CC">
        <w:rPr>
          <w:bCs/>
          <w:sz w:val="24"/>
        </w:rPr>
        <w:t>diabetic retinopathy worse than background</w:t>
      </w:r>
      <w:r>
        <w:rPr>
          <w:bCs/>
          <w:sz w:val="24"/>
        </w:rPr>
        <w:t xml:space="preserve"> or presence of diabetic maculopathy</w:t>
      </w:r>
    </w:p>
    <w:p w14:paraId="50EC4B8B" w14:textId="29E36DEC" w:rsidR="00D275C8" w:rsidRDefault="00D275C8" w:rsidP="00E82C10">
      <w:pPr>
        <w:pStyle w:val="ListParagraph"/>
        <w:numPr>
          <w:ilvl w:val="0"/>
          <w:numId w:val="2"/>
        </w:numPr>
        <w:rPr>
          <w:bCs/>
          <w:sz w:val="24"/>
        </w:rPr>
      </w:pPr>
      <w:r w:rsidRPr="000822CC">
        <w:rPr>
          <w:bCs/>
          <w:sz w:val="24"/>
        </w:rPr>
        <w:t>uncontrolled intraocular inflammation</w:t>
      </w:r>
    </w:p>
    <w:p w14:paraId="14FCD153" w14:textId="5D113B0C" w:rsidR="00D275C8" w:rsidRDefault="00D275C8" w:rsidP="00E82C10">
      <w:pPr>
        <w:pStyle w:val="ListParagraph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glaucoma </w:t>
      </w:r>
      <w:r w:rsidR="00FD4629">
        <w:rPr>
          <w:bCs/>
          <w:sz w:val="24"/>
        </w:rPr>
        <w:t xml:space="preserve">with significant optic disc damage </w:t>
      </w:r>
      <w:r>
        <w:rPr>
          <w:bCs/>
          <w:sz w:val="24"/>
        </w:rPr>
        <w:t>or other optic nerve diseases</w:t>
      </w:r>
    </w:p>
    <w:p w14:paraId="52320CCB" w14:textId="77777777" w:rsidR="00051BBD" w:rsidRDefault="00051BBD" w:rsidP="007B2FB8">
      <w:pPr>
        <w:rPr>
          <w:sz w:val="24"/>
        </w:rPr>
      </w:pPr>
    </w:p>
    <w:p w14:paraId="6521B5D0" w14:textId="77777777" w:rsidR="00E15E3C" w:rsidRDefault="00E15E3C" w:rsidP="00E15E3C">
      <w:pPr>
        <w:rPr>
          <w:sz w:val="24"/>
        </w:rPr>
      </w:pPr>
      <w:r w:rsidRPr="007B2FB8">
        <w:rPr>
          <w:b/>
          <w:sz w:val="24"/>
        </w:rPr>
        <w:t>Likely incidence:</w:t>
      </w:r>
      <w:r w:rsidR="00EC1697">
        <w:rPr>
          <w:sz w:val="24"/>
        </w:rPr>
        <w:t xml:space="preserve"> </w:t>
      </w:r>
    </w:p>
    <w:p w14:paraId="5948E63F" w14:textId="57B0737F" w:rsidR="00E15E3C" w:rsidRDefault="00E15E3C" w:rsidP="00E15E3C">
      <w:pPr>
        <w:rPr>
          <w:sz w:val="24"/>
        </w:rPr>
      </w:pPr>
      <w:r w:rsidRPr="007B2FB8">
        <w:rPr>
          <w:b/>
          <w:sz w:val="24"/>
        </w:rPr>
        <w:t xml:space="preserve">Prospective/Retrospective data </w:t>
      </w:r>
      <w:proofErr w:type="gramStart"/>
      <w:r w:rsidRPr="007B2FB8">
        <w:rPr>
          <w:b/>
          <w:sz w:val="24"/>
        </w:rPr>
        <w:t>collection?:</w:t>
      </w:r>
      <w:proofErr w:type="gramEnd"/>
      <w:r w:rsidR="00192383">
        <w:rPr>
          <w:sz w:val="24"/>
        </w:rPr>
        <w:t xml:space="preserve"> </w:t>
      </w:r>
      <w:r w:rsidR="007B2FB8">
        <w:rPr>
          <w:sz w:val="24"/>
        </w:rPr>
        <w:t xml:space="preserve"> </w:t>
      </w:r>
      <w:r w:rsidR="00E82C10">
        <w:rPr>
          <w:sz w:val="24"/>
        </w:rPr>
        <w:t>Retrospective data collection.</w:t>
      </w:r>
    </w:p>
    <w:p w14:paraId="5CB5D820" w14:textId="77777777" w:rsidR="00C41E4F" w:rsidRDefault="00C41E4F" w:rsidP="00E15E3C">
      <w:pPr>
        <w:rPr>
          <w:sz w:val="24"/>
        </w:rPr>
      </w:pPr>
    </w:p>
    <w:p w14:paraId="47312A47" w14:textId="77777777" w:rsidR="007B2FB8" w:rsidRDefault="00C41E4F" w:rsidP="00E15E3C">
      <w:pPr>
        <w:rPr>
          <w:b/>
          <w:sz w:val="24"/>
        </w:rPr>
      </w:pPr>
      <w:r w:rsidRPr="007B2FB8">
        <w:rPr>
          <w:b/>
          <w:sz w:val="24"/>
        </w:rPr>
        <w:t>If Retrospective</w:t>
      </w:r>
      <w:r w:rsidR="007B2FB8">
        <w:rPr>
          <w:b/>
          <w:sz w:val="24"/>
        </w:rPr>
        <w:t>:</w:t>
      </w:r>
    </w:p>
    <w:p w14:paraId="442FB9CA" w14:textId="1BA58FC1" w:rsidR="00C41E4F" w:rsidRDefault="007B2FB8" w:rsidP="00E15E3C">
      <w:pPr>
        <w:rPr>
          <w:sz w:val="24"/>
        </w:rPr>
      </w:pPr>
      <w:r>
        <w:rPr>
          <w:b/>
          <w:sz w:val="24"/>
        </w:rPr>
        <w:t>Eligible s</w:t>
      </w:r>
      <w:r w:rsidR="00C41E4F" w:rsidRPr="007B2FB8">
        <w:rPr>
          <w:b/>
          <w:sz w:val="24"/>
        </w:rPr>
        <w:t>tudy period:</w:t>
      </w:r>
      <w:r w:rsidR="00C41E4F">
        <w:rPr>
          <w:sz w:val="24"/>
        </w:rPr>
        <w:t xml:space="preserve"> </w:t>
      </w:r>
      <w:r w:rsidR="00B301CA">
        <w:rPr>
          <w:sz w:val="24"/>
        </w:rPr>
        <w:t xml:space="preserve">January 2017 – </w:t>
      </w:r>
      <w:r w:rsidR="005349BE">
        <w:rPr>
          <w:sz w:val="24"/>
        </w:rPr>
        <w:t>December</w:t>
      </w:r>
      <w:r w:rsidR="00B301CA">
        <w:rPr>
          <w:sz w:val="24"/>
        </w:rPr>
        <w:t xml:space="preserve"> </w:t>
      </w:r>
      <w:commentRangeStart w:id="0"/>
      <w:r w:rsidR="00B301CA">
        <w:rPr>
          <w:sz w:val="24"/>
        </w:rPr>
        <w:t>2021</w:t>
      </w:r>
      <w:commentRangeEnd w:id="0"/>
      <w:r w:rsidR="00207D27">
        <w:rPr>
          <w:rStyle w:val="CommentReference"/>
        </w:rPr>
        <w:commentReference w:id="0"/>
      </w:r>
    </w:p>
    <w:p w14:paraId="4A543A39" w14:textId="14F017BD" w:rsidR="00192383" w:rsidRDefault="007B2FB8" w:rsidP="00E15E3C">
      <w:pPr>
        <w:rPr>
          <w:sz w:val="24"/>
        </w:rPr>
      </w:pPr>
      <w:r w:rsidRPr="007B2FB8">
        <w:rPr>
          <w:b/>
          <w:sz w:val="24"/>
        </w:rPr>
        <w:t>Target completion for end of data collection:</w:t>
      </w:r>
      <w:r>
        <w:rPr>
          <w:sz w:val="24"/>
        </w:rPr>
        <w:t xml:space="preserve"> </w:t>
      </w:r>
      <w:r w:rsidR="00817DD5">
        <w:rPr>
          <w:rFonts w:ascii="American Typewriter" w:hAnsi="American Typewriter"/>
          <w:sz w:val="24"/>
        </w:rPr>
        <w:t>≥</w:t>
      </w:r>
      <w:r w:rsidR="003174B9">
        <w:rPr>
          <w:sz w:val="24"/>
        </w:rPr>
        <w:t xml:space="preserve"> </w:t>
      </w:r>
      <w:r w:rsidR="00B301CA">
        <w:rPr>
          <w:sz w:val="24"/>
        </w:rPr>
        <w:t>40 cases by the end of December 2022</w:t>
      </w:r>
    </w:p>
    <w:p w14:paraId="1C4A835C" w14:textId="77777777" w:rsidR="00C41E4F" w:rsidRDefault="00C41E4F" w:rsidP="00E15E3C">
      <w:pPr>
        <w:rPr>
          <w:sz w:val="24"/>
        </w:rPr>
      </w:pPr>
    </w:p>
    <w:p w14:paraId="719E346A" w14:textId="38DC2DC0" w:rsidR="00C41E4F" w:rsidRPr="007B2FB8" w:rsidRDefault="007B2FB8" w:rsidP="00E15E3C">
      <w:pPr>
        <w:rPr>
          <w:b/>
          <w:sz w:val="24"/>
        </w:rPr>
      </w:pPr>
      <w:r>
        <w:rPr>
          <w:b/>
          <w:sz w:val="24"/>
        </w:rPr>
        <w:t>Primary outcome measure</w:t>
      </w:r>
      <w:r w:rsidR="00C41E4F" w:rsidRPr="007B2FB8">
        <w:rPr>
          <w:b/>
          <w:sz w:val="24"/>
        </w:rPr>
        <w:t xml:space="preserve">: </w:t>
      </w:r>
      <w:r w:rsidR="00E82C10" w:rsidRPr="00E82C10">
        <w:rPr>
          <w:bCs/>
          <w:sz w:val="24"/>
        </w:rPr>
        <w:t xml:space="preserve">anatomical success (resolution of </w:t>
      </w:r>
      <w:r w:rsidR="0010105E">
        <w:rPr>
          <w:bCs/>
          <w:sz w:val="24"/>
        </w:rPr>
        <w:t>intra- and sub-retinal fluid</w:t>
      </w:r>
      <w:r w:rsidR="00E82C10" w:rsidRPr="00E82C10">
        <w:rPr>
          <w:bCs/>
          <w:sz w:val="24"/>
        </w:rPr>
        <w:t>)</w:t>
      </w:r>
    </w:p>
    <w:p w14:paraId="5D4DB819" w14:textId="77777777" w:rsidR="00C41E4F" w:rsidRDefault="00C41E4F" w:rsidP="00E15E3C">
      <w:pPr>
        <w:rPr>
          <w:sz w:val="24"/>
        </w:rPr>
      </w:pPr>
    </w:p>
    <w:p w14:paraId="099C7F03" w14:textId="6B7E5943" w:rsidR="00192383" w:rsidRPr="007B2FB8" w:rsidRDefault="00C41E4F" w:rsidP="00E15E3C">
      <w:pPr>
        <w:rPr>
          <w:b/>
          <w:sz w:val="24"/>
        </w:rPr>
      </w:pPr>
      <w:r w:rsidRPr="007B2FB8">
        <w:rPr>
          <w:b/>
          <w:sz w:val="24"/>
        </w:rPr>
        <w:t xml:space="preserve">Secondary Outcome measures: </w:t>
      </w:r>
      <w:r w:rsidR="00E82C10" w:rsidRPr="00E82C10">
        <w:rPr>
          <w:bCs/>
          <w:sz w:val="24"/>
        </w:rPr>
        <w:t>postoperative visual acuity</w:t>
      </w:r>
      <w:r w:rsidR="00B301CA">
        <w:rPr>
          <w:bCs/>
          <w:sz w:val="24"/>
        </w:rPr>
        <w:t xml:space="preserve">, </w:t>
      </w:r>
      <w:r w:rsidR="00A33950">
        <w:rPr>
          <w:bCs/>
          <w:sz w:val="24"/>
        </w:rPr>
        <w:t>distribution of intra</w:t>
      </w:r>
      <w:r w:rsidR="0010105E">
        <w:rPr>
          <w:bCs/>
          <w:sz w:val="24"/>
        </w:rPr>
        <w:t>-</w:t>
      </w:r>
      <w:r w:rsidR="00A33950">
        <w:rPr>
          <w:bCs/>
          <w:sz w:val="24"/>
        </w:rPr>
        <w:t>retinal and/or sub</w:t>
      </w:r>
      <w:r w:rsidR="0010105E">
        <w:rPr>
          <w:bCs/>
          <w:sz w:val="24"/>
        </w:rPr>
        <w:t>-</w:t>
      </w:r>
      <w:r w:rsidR="00A33950">
        <w:rPr>
          <w:bCs/>
          <w:sz w:val="24"/>
        </w:rPr>
        <w:t>retinal fluid</w:t>
      </w:r>
    </w:p>
    <w:p w14:paraId="53C14718" w14:textId="77777777" w:rsidR="00C41E4F" w:rsidRDefault="00C41E4F" w:rsidP="00E15E3C">
      <w:pPr>
        <w:rPr>
          <w:sz w:val="24"/>
        </w:rPr>
      </w:pPr>
    </w:p>
    <w:p w14:paraId="38D1359E" w14:textId="71D3FB35" w:rsidR="00C41E4F" w:rsidRDefault="00C41E4F" w:rsidP="00E15E3C">
      <w:pPr>
        <w:rPr>
          <w:sz w:val="24"/>
        </w:rPr>
      </w:pPr>
      <w:r w:rsidRPr="007B2FB8">
        <w:rPr>
          <w:b/>
          <w:sz w:val="24"/>
        </w:rPr>
        <w:t>Pre-planned analysis outline:</w:t>
      </w:r>
      <w:r>
        <w:rPr>
          <w:sz w:val="24"/>
        </w:rPr>
        <w:t xml:space="preserve"> </w:t>
      </w:r>
      <w:r w:rsidR="00FD4629">
        <w:rPr>
          <w:sz w:val="24"/>
        </w:rPr>
        <w:t xml:space="preserve">Descriptive statistics will be used to calculate demographic data. Mann-Whitney U test will be used to assess nonparametric continuous data and chi-square test for categorical data. T-test and Wilcoxon rank-sum test will be performed </w:t>
      </w:r>
      <w:r w:rsidR="005F113E">
        <w:rPr>
          <w:sz w:val="24"/>
        </w:rPr>
        <w:t xml:space="preserve">for comparative tests. </w:t>
      </w:r>
      <w:r w:rsidR="00FD4629">
        <w:rPr>
          <w:sz w:val="24"/>
        </w:rPr>
        <w:t xml:space="preserve">P values </w:t>
      </w:r>
      <w:r w:rsidR="00FD4629">
        <w:rPr>
          <w:rFonts w:ascii="American Typewriter" w:hAnsi="American Typewriter"/>
          <w:sz w:val="24"/>
        </w:rPr>
        <w:t>≤</w:t>
      </w:r>
      <w:r w:rsidR="00FD4629">
        <w:rPr>
          <w:sz w:val="24"/>
        </w:rPr>
        <w:t xml:space="preserve"> 0.05 will be considered statistically significant. </w:t>
      </w:r>
    </w:p>
    <w:p w14:paraId="7C199CBD" w14:textId="77777777" w:rsidR="00192383" w:rsidRDefault="00192383" w:rsidP="00E15E3C">
      <w:pPr>
        <w:rPr>
          <w:sz w:val="24"/>
        </w:rPr>
      </w:pPr>
    </w:p>
    <w:p w14:paraId="7D9EF1E5" w14:textId="4D66FE0C" w:rsidR="00192383" w:rsidRDefault="00192383" w:rsidP="00306AE3">
      <w:pPr>
        <w:rPr>
          <w:sz w:val="24"/>
        </w:rPr>
      </w:pPr>
      <w:r w:rsidRPr="007B2FB8">
        <w:rPr>
          <w:b/>
          <w:sz w:val="24"/>
        </w:rPr>
        <w:t>Data collection form</w:t>
      </w:r>
      <w:r w:rsidR="00C41E4F" w:rsidRPr="007B2FB8">
        <w:rPr>
          <w:b/>
          <w:sz w:val="24"/>
        </w:rPr>
        <w:t>(s)</w:t>
      </w:r>
      <w:r w:rsidRPr="007B2FB8">
        <w:rPr>
          <w:b/>
          <w:sz w:val="24"/>
        </w:rPr>
        <w:t>:</w:t>
      </w:r>
      <w:r w:rsidR="00C666B9">
        <w:rPr>
          <w:sz w:val="24"/>
        </w:rPr>
        <w:t xml:space="preserve"> </w:t>
      </w:r>
      <w:r w:rsidR="00B301CA">
        <w:rPr>
          <w:sz w:val="24"/>
        </w:rPr>
        <w:t>see Excel file attached</w:t>
      </w:r>
    </w:p>
    <w:p w14:paraId="55B2EC7B" w14:textId="77777777" w:rsidR="00192383" w:rsidRDefault="00192383" w:rsidP="00E15E3C">
      <w:pPr>
        <w:rPr>
          <w:sz w:val="24"/>
        </w:rPr>
      </w:pPr>
      <w:r>
        <w:rPr>
          <w:sz w:val="24"/>
        </w:rPr>
        <w:t xml:space="preserve"> </w:t>
      </w:r>
    </w:p>
    <w:p w14:paraId="4C270220" w14:textId="77ABDB5C" w:rsidR="00E15E3C" w:rsidRPr="00A12450" w:rsidRDefault="00192383" w:rsidP="00E15E3C">
      <w:pPr>
        <w:rPr>
          <w:sz w:val="24"/>
        </w:rPr>
      </w:pPr>
      <w:r w:rsidRPr="007B2FB8">
        <w:rPr>
          <w:b/>
          <w:sz w:val="24"/>
        </w:rPr>
        <w:t>Images required:</w:t>
      </w:r>
      <w:r w:rsidR="00174DBF">
        <w:rPr>
          <w:sz w:val="24"/>
        </w:rPr>
        <w:t xml:space="preserve"> </w:t>
      </w:r>
      <w:r w:rsidR="005F113E">
        <w:rPr>
          <w:sz w:val="24"/>
        </w:rPr>
        <w:t>OCT over the macular area allowing the calculation of central foveal height, central macular thickness (1-mm diameter centred on the foveal centre) and macular oedema extent, OCT over the disc.</w:t>
      </w:r>
      <w:r w:rsidR="00A12450">
        <w:rPr>
          <w:sz w:val="24"/>
        </w:rPr>
        <w:t xml:space="preserve"> T</w:t>
      </w:r>
      <w:r w:rsidR="00A12450" w:rsidRPr="00A12450">
        <w:rPr>
          <w:sz w:val="24"/>
        </w:rPr>
        <w:t xml:space="preserve">he images </w:t>
      </w:r>
      <w:r w:rsidR="00A12450">
        <w:rPr>
          <w:sz w:val="24"/>
        </w:rPr>
        <w:t>will</w:t>
      </w:r>
      <w:r w:rsidR="00A12450" w:rsidRPr="00A12450">
        <w:rPr>
          <w:sz w:val="24"/>
        </w:rPr>
        <w:t xml:space="preserve"> be anonymised by study number</w:t>
      </w:r>
      <w:r w:rsidR="00A12450">
        <w:rPr>
          <w:sz w:val="24"/>
        </w:rPr>
        <w:t>.</w:t>
      </w:r>
    </w:p>
    <w:p w14:paraId="0F895E7E" w14:textId="77777777" w:rsidR="00E15E3C" w:rsidRDefault="00E15E3C" w:rsidP="00E15E3C">
      <w:pPr>
        <w:rPr>
          <w:sz w:val="24"/>
        </w:rPr>
      </w:pPr>
    </w:p>
    <w:p w14:paraId="23FACB96" w14:textId="77777777" w:rsidR="00E15E3C" w:rsidRDefault="00E15E3C" w:rsidP="00E15E3C">
      <w:pPr>
        <w:rPr>
          <w:sz w:val="24"/>
        </w:rPr>
      </w:pPr>
    </w:p>
    <w:p w14:paraId="6760FBBA" w14:textId="77777777" w:rsidR="00E15E3C" w:rsidRDefault="00E15E3C" w:rsidP="00E15E3C">
      <w:pPr>
        <w:rPr>
          <w:sz w:val="24"/>
        </w:rPr>
      </w:pPr>
    </w:p>
    <w:p w14:paraId="0EA5FE4B" w14:textId="77777777" w:rsidR="00E15E3C" w:rsidRPr="00E15E3C" w:rsidRDefault="00E15E3C" w:rsidP="00E15E3C">
      <w:pPr>
        <w:rPr>
          <w:sz w:val="24"/>
        </w:rPr>
      </w:pPr>
    </w:p>
    <w:p w14:paraId="1119300E" w14:textId="77777777" w:rsidR="00E15E3C" w:rsidRPr="00E15E3C" w:rsidRDefault="00E15E3C" w:rsidP="00E15E3C">
      <w:pPr>
        <w:rPr>
          <w:sz w:val="24"/>
        </w:rPr>
      </w:pPr>
    </w:p>
    <w:p w14:paraId="0E555464" w14:textId="77777777" w:rsidR="00E15E3C" w:rsidRPr="00E15E3C" w:rsidRDefault="00E15E3C" w:rsidP="00E15E3C">
      <w:pPr>
        <w:rPr>
          <w:sz w:val="24"/>
        </w:rPr>
      </w:pPr>
    </w:p>
    <w:p w14:paraId="7A9348DB" w14:textId="77777777" w:rsidR="006878D6" w:rsidRDefault="006878D6"/>
    <w:sectPr w:rsidR="00687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llier, Roxane Jo" w:date="2022-09-22T10:47:00Z" w:initials="HRJ">
    <w:p w14:paraId="4EC08A4E" w14:textId="346F01FE" w:rsidR="00207D27" w:rsidRDefault="00207D27">
      <w:pPr>
        <w:pStyle w:val="CommentText"/>
      </w:pPr>
      <w:r>
        <w:rPr>
          <w:rStyle w:val="CommentReference"/>
        </w:rPr>
        <w:annotationRef/>
      </w:r>
      <w:r>
        <w:t>Any reason not to extend further back?</w:t>
      </w:r>
      <w:r w:rsidR="0010105E">
        <w:t xml:space="preserve"> One of mine is from 2016, for example.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C08A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08A4E" w16cid:durableId="26D757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BAB"/>
    <w:multiLevelType w:val="hybridMultilevel"/>
    <w:tmpl w:val="98CA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03B9"/>
    <w:multiLevelType w:val="hybridMultilevel"/>
    <w:tmpl w:val="FF3067B0"/>
    <w:lvl w:ilvl="0" w:tplc="6C50C2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171CC"/>
    <w:multiLevelType w:val="hybridMultilevel"/>
    <w:tmpl w:val="7ACEABD0"/>
    <w:lvl w:ilvl="0" w:tplc="8FBA41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lier, Roxane Jo">
    <w15:presenceInfo w15:providerId="None" w15:userId="Hillier, Roxane J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3C"/>
    <w:rsid w:val="00006D4F"/>
    <w:rsid w:val="000500DD"/>
    <w:rsid w:val="00051BBD"/>
    <w:rsid w:val="000822CC"/>
    <w:rsid w:val="000A4E12"/>
    <w:rsid w:val="0010105E"/>
    <w:rsid w:val="0013447A"/>
    <w:rsid w:val="00174DBF"/>
    <w:rsid w:val="00192383"/>
    <w:rsid w:val="00207D27"/>
    <w:rsid w:val="00276E5D"/>
    <w:rsid w:val="002B0EA5"/>
    <w:rsid w:val="002E63AE"/>
    <w:rsid w:val="00306AE3"/>
    <w:rsid w:val="003174B9"/>
    <w:rsid w:val="003235F2"/>
    <w:rsid w:val="003D41B5"/>
    <w:rsid w:val="003F710B"/>
    <w:rsid w:val="0040113F"/>
    <w:rsid w:val="0040737E"/>
    <w:rsid w:val="004B18C3"/>
    <w:rsid w:val="005243CE"/>
    <w:rsid w:val="005349BE"/>
    <w:rsid w:val="005635C5"/>
    <w:rsid w:val="005C6483"/>
    <w:rsid w:val="005E59BB"/>
    <w:rsid w:val="005F113E"/>
    <w:rsid w:val="006042B3"/>
    <w:rsid w:val="006878D6"/>
    <w:rsid w:val="007168C9"/>
    <w:rsid w:val="007B2FB8"/>
    <w:rsid w:val="00817DD5"/>
    <w:rsid w:val="008900D3"/>
    <w:rsid w:val="00891461"/>
    <w:rsid w:val="008B45D8"/>
    <w:rsid w:val="00990D3C"/>
    <w:rsid w:val="009D1DEA"/>
    <w:rsid w:val="00A12450"/>
    <w:rsid w:val="00A2343A"/>
    <w:rsid w:val="00A33950"/>
    <w:rsid w:val="00A434E7"/>
    <w:rsid w:val="00B07BAD"/>
    <w:rsid w:val="00B301CA"/>
    <w:rsid w:val="00B34371"/>
    <w:rsid w:val="00B366D7"/>
    <w:rsid w:val="00B51021"/>
    <w:rsid w:val="00C41E4F"/>
    <w:rsid w:val="00C666B9"/>
    <w:rsid w:val="00D275C8"/>
    <w:rsid w:val="00DE4E55"/>
    <w:rsid w:val="00E15E3C"/>
    <w:rsid w:val="00E82C10"/>
    <w:rsid w:val="00EC1697"/>
    <w:rsid w:val="00EC6902"/>
    <w:rsid w:val="00F42E56"/>
    <w:rsid w:val="00F534F7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38AF7"/>
  <w15:docId w15:val="{190B86C4-63BB-A240-8085-DB68DBED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7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D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D2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Steel</dc:creator>
  <cp:lastModifiedBy>Microsoft Office User</cp:lastModifiedBy>
  <cp:revision>10</cp:revision>
  <dcterms:created xsi:type="dcterms:W3CDTF">2022-09-22T15:42:00Z</dcterms:created>
  <dcterms:modified xsi:type="dcterms:W3CDTF">2022-09-23T09:15:00Z</dcterms:modified>
</cp:coreProperties>
</file>